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F545CB" w:rsidP="00F95E00">
            <w:pPr>
              <w:pStyle w:val="2"/>
              <w:tabs>
                <w:tab w:val="clear" w:pos="360"/>
                <w:tab w:val="left" w:pos="359"/>
              </w:tabs>
              <w:ind w:left="359" w:right="-1"/>
              <w:rPr>
                <w:b w:val="0"/>
              </w:rPr>
            </w:pPr>
            <w:r>
              <w:rPr>
                <w:b w:val="0"/>
                <w:lang w:val="en-US"/>
              </w:rPr>
              <w:t>2</w:t>
            </w:r>
            <w:r w:rsidR="00F95E00">
              <w:rPr>
                <w:b w:val="0"/>
                <w:lang w:val="en-US"/>
              </w:rPr>
              <w:t>8</w:t>
            </w:r>
            <w:r w:rsidR="009D180F">
              <w:rPr>
                <w:b w:val="0"/>
              </w:rPr>
              <w:t xml:space="preserve"> </w:t>
            </w:r>
            <w:r w:rsidR="000564A4">
              <w:rPr>
                <w:b w:val="0"/>
              </w:rPr>
              <w:t>мая</w:t>
            </w:r>
            <w:r w:rsidR="009D180F">
              <w:rPr>
                <w:b w:val="0"/>
              </w:rPr>
              <w:t xml:space="preserve"> 201</w:t>
            </w:r>
            <w:r w:rsidR="000564A4">
              <w:rPr>
                <w:b w:val="0"/>
              </w:rPr>
              <w:t>3</w:t>
            </w:r>
            <w:r w:rsidR="00B11233">
              <w:rPr>
                <w:b w:val="0"/>
              </w:rPr>
              <w:t xml:space="preserve"> г. № 232</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предоставление доступа к сети Интернет 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t xml:space="preserve"> (код ОКДП 64200</w:t>
      </w:r>
      <w:r w:rsidR="005C0BC8" w:rsidRPr="005C0BC8">
        <w:t>9</w:t>
      </w:r>
      <w:r>
        <w:t>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Default="009D180F" w:rsidP="009D180F">
      <w:pPr>
        <w:ind w:left="720"/>
        <w:jc w:val="both"/>
        <w:rPr>
          <w:rFonts w:eastAsia="Calibri" w:cs="Calibri"/>
          <w:sz w:val="24"/>
          <w:szCs w:val="24"/>
        </w:rPr>
      </w:pPr>
      <w:r w:rsidRPr="00335E53">
        <w:rPr>
          <w:sz w:val="24"/>
          <w:szCs w:val="24"/>
        </w:rPr>
        <w:t xml:space="preserve">- Исполнитель </w:t>
      </w:r>
      <w:r w:rsidRPr="00335E53">
        <w:rPr>
          <w:rFonts w:eastAsia="Calibri" w:cs="Calibri"/>
          <w:sz w:val="24"/>
          <w:szCs w:val="24"/>
        </w:rPr>
        <w:t xml:space="preserve">обязан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Pr="00335E53">
        <w:rPr>
          <w:rFonts w:eastAsia="Calibri" w:cs="Calibri"/>
          <w:b/>
          <w:sz w:val="24"/>
          <w:szCs w:val="24"/>
        </w:rPr>
        <w:t>7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Исполнитель обеспечивает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О факте проведения ремонтных и профилактических работ Исполнитель обязан предупреждать Заказчика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Исполнитель не должен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ind w:left="720"/>
        <w:jc w:val="both"/>
        <w:rPr>
          <w:rFonts w:eastAsia="Calibri" w:cs="Calibri"/>
          <w:color w:val="000000"/>
          <w:sz w:val="24"/>
          <w:szCs w:val="22"/>
        </w:rPr>
      </w:pPr>
      <w:proofErr w:type="gramStart"/>
      <w:r w:rsidRPr="00335E53">
        <w:rPr>
          <w:rFonts w:eastAsia="Calibri" w:cs="Calibri"/>
          <w:sz w:val="28"/>
          <w:szCs w:val="24"/>
        </w:rPr>
        <w:t xml:space="preserve">- </w:t>
      </w:r>
      <w:r w:rsidRPr="00335E53">
        <w:rPr>
          <w:rFonts w:eastAsia="Calibri" w:cs="Calibri"/>
          <w:color w:val="000000"/>
          <w:sz w:val="24"/>
          <w:szCs w:val="22"/>
        </w:rPr>
        <w:t>Исполнитель не в праве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ind w:left="720"/>
        <w:jc w:val="both"/>
        <w:rPr>
          <w:rFonts w:eastAsia="Calibri" w:cs="Calibri"/>
          <w:sz w:val="24"/>
          <w:szCs w:val="24"/>
        </w:rPr>
      </w:pPr>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lastRenderedPageBreak/>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Pr>
          <w:rFonts w:eastAsia="Calibri" w:cs="Calibri"/>
          <w:sz w:val="24"/>
          <w:szCs w:val="24"/>
        </w:rPr>
        <w:t>7 М</w:t>
      </w:r>
      <w:r w:rsidRPr="00335E53">
        <w:rPr>
          <w:rFonts w:eastAsia="Calibri" w:cs="Calibri"/>
          <w:sz w:val="24"/>
          <w:szCs w:val="24"/>
        </w:rPr>
        <w:t>бит/</w:t>
      </w:r>
      <w:proofErr w:type="gramStart"/>
      <w:r w:rsidRPr="00335E53">
        <w:rPr>
          <w:rFonts w:eastAsia="Calibri" w:cs="Calibri"/>
          <w:sz w:val="24"/>
          <w:szCs w:val="24"/>
        </w:rPr>
        <w:t>с</w:t>
      </w:r>
      <w:proofErr w:type="gramEnd"/>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B331D3" w:rsidRPr="00B331D3">
        <w:rPr>
          <w:bCs/>
          <w:sz w:val="24"/>
        </w:rPr>
        <w:t>1</w:t>
      </w:r>
      <w:r w:rsidR="001D7800">
        <w:rPr>
          <w:bCs/>
          <w:sz w:val="24"/>
        </w:rPr>
        <w:t>2</w:t>
      </w:r>
      <w:r w:rsidR="00F95E00" w:rsidRPr="00F95E00">
        <w:rPr>
          <w:bCs/>
          <w:sz w:val="24"/>
        </w:rPr>
        <w:t>5</w:t>
      </w:r>
      <w:r w:rsidR="00B331D3" w:rsidRPr="00B331D3">
        <w:rPr>
          <w:bCs/>
          <w:sz w:val="24"/>
        </w:rPr>
        <w:t xml:space="preserve"> </w:t>
      </w:r>
      <w:r w:rsidR="00F95E00" w:rsidRPr="00F95E00">
        <w:rPr>
          <w:bCs/>
          <w:sz w:val="24"/>
        </w:rPr>
        <w:t>784</w:t>
      </w:r>
      <w:r w:rsidRPr="008D67B2">
        <w:rPr>
          <w:bCs/>
          <w:sz w:val="24"/>
        </w:rPr>
        <w:t>,00 (ст</w:t>
      </w:r>
      <w:r w:rsidR="00B331D3">
        <w:rPr>
          <w:bCs/>
          <w:sz w:val="24"/>
        </w:rPr>
        <w:t>о</w:t>
      </w:r>
      <w:r w:rsidRPr="008D67B2">
        <w:rPr>
          <w:bCs/>
          <w:sz w:val="24"/>
        </w:rPr>
        <w:t xml:space="preserve"> </w:t>
      </w:r>
      <w:r w:rsidR="001D7800">
        <w:rPr>
          <w:bCs/>
          <w:sz w:val="24"/>
        </w:rPr>
        <w:t xml:space="preserve">двадцать </w:t>
      </w:r>
      <w:r w:rsidR="00F95E00">
        <w:rPr>
          <w:bCs/>
          <w:sz w:val="24"/>
        </w:rPr>
        <w:t>пять</w:t>
      </w:r>
      <w:r w:rsidRPr="008D67B2">
        <w:rPr>
          <w:bCs/>
          <w:sz w:val="24"/>
        </w:rPr>
        <w:t xml:space="preserve"> тысяч</w:t>
      </w:r>
      <w:r w:rsidR="001D7800">
        <w:rPr>
          <w:bCs/>
          <w:sz w:val="24"/>
        </w:rPr>
        <w:t xml:space="preserve"> </w:t>
      </w:r>
      <w:r w:rsidR="00F95E00">
        <w:rPr>
          <w:bCs/>
          <w:sz w:val="24"/>
        </w:rPr>
        <w:t>семьсот восемьдесят четыре</w:t>
      </w:r>
      <w:r w:rsidRPr="008D67B2">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 xml:space="preserve">горска,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4814FD" w:rsidRPr="000564A4"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Pr="0018598E">
        <w:rPr>
          <w:sz w:val="24"/>
          <w:szCs w:val="24"/>
        </w:rPr>
        <w:t xml:space="preserve">оплата ежемесячно в течение 10 банковских дней, на основании счета-фактуры и акта </w:t>
      </w:r>
      <w:r>
        <w:rPr>
          <w:sz w:val="24"/>
          <w:szCs w:val="24"/>
        </w:rPr>
        <w:t>выполненных работ</w:t>
      </w:r>
      <w:r w:rsidRPr="0018598E">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с 01.0</w:t>
      </w:r>
      <w:r w:rsidR="000564A4">
        <w:rPr>
          <w:sz w:val="24"/>
          <w:szCs w:val="24"/>
        </w:rPr>
        <w:t>7</w:t>
      </w:r>
      <w:r>
        <w:rPr>
          <w:sz w:val="24"/>
          <w:szCs w:val="24"/>
        </w:rPr>
        <w:t>.201</w:t>
      </w:r>
      <w:r w:rsidR="00F545CB">
        <w:rPr>
          <w:sz w:val="24"/>
          <w:szCs w:val="24"/>
        </w:rPr>
        <w:t>3</w:t>
      </w:r>
      <w:r>
        <w:rPr>
          <w:sz w:val="24"/>
          <w:szCs w:val="24"/>
        </w:rPr>
        <w:t xml:space="preserve"> до 3</w:t>
      </w:r>
      <w:r w:rsidR="000564A4">
        <w:rPr>
          <w:sz w:val="24"/>
          <w:szCs w:val="24"/>
        </w:rPr>
        <w:t>1</w:t>
      </w:r>
      <w:r>
        <w:rPr>
          <w:sz w:val="24"/>
          <w:szCs w:val="24"/>
        </w:rPr>
        <w:t>.</w:t>
      </w:r>
      <w:r w:rsidR="000564A4">
        <w:rPr>
          <w:sz w:val="24"/>
          <w:szCs w:val="24"/>
        </w:rPr>
        <w:t>12</w:t>
      </w:r>
      <w:r>
        <w:rPr>
          <w:sz w:val="24"/>
          <w:szCs w:val="24"/>
        </w:rPr>
        <w:t>.201</w:t>
      </w:r>
      <w:r w:rsidR="00F545CB">
        <w:rPr>
          <w:sz w:val="24"/>
          <w:szCs w:val="24"/>
        </w:rPr>
        <w:t>3</w:t>
      </w:r>
      <w:r>
        <w:rPr>
          <w:sz w:val="24"/>
          <w:szCs w:val="24"/>
        </w:rPr>
        <w:t>.</w:t>
      </w:r>
    </w:p>
    <w:p w:rsidR="009D180F" w:rsidRDefault="009D180F" w:rsidP="009D180F">
      <w:pPr>
        <w:ind w:firstLine="720"/>
        <w:jc w:val="both"/>
        <w:rPr>
          <w:sz w:val="24"/>
          <w:szCs w:val="24"/>
        </w:rPr>
      </w:pPr>
      <w:r>
        <w:rPr>
          <w:sz w:val="24"/>
          <w:szCs w:val="24"/>
        </w:rPr>
        <w:t xml:space="preserve">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9F0725">
        <w:rPr>
          <w:sz w:val="24"/>
          <w:szCs w:val="24"/>
        </w:rPr>
        <w:t>06</w:t>
      </w:r>
      <w:r>
        <w:rPr>
          <w:sz w:val="24"/>
          <w:szCs w:val="24"/>
        </w:rPr>
        <w:t xml:space="preserve">» </w:t>
      </w:r>
      <w:r w:rsidR="009F0725">
        <w:rPr>
          <w:sz w:val="24"/>
          <w:szCs w:val="24"/>
        </w:rPr>
        <w:t>июня</w:t>
      </w:r>
      <w:r>
        <w:rPr>
          <w:sz w:val="24"/>
          <w:szCs w:val="24"/>
        </w:rPr>
        <w:t xml:space="preserve"> 201</w:t>
      </w:r>
      <w:r w:rsidR="000564A4">
        <w:rPr>
          <w:sz w:val="24"/>
          <w:szCs w:val="24"/>
        </w:rPr>
        <w:t>3</w:t>
      </w:r>
      <w:r>
        <w:rPr>
          <w:sz w:val="24"/>
          <w:szCs w:val="24"/>
        </w:rPr>
        <w:t xml:space="preserve"> г. до 13.00 часов по местному времени «</w:t>
      </w:r>
      <w:r w:rsidR="009F0725">
        <w:rPr>
          <w:sz w:val="24"/>
          <w:szCs w:val="24"/>
        </w:rPr>
        <w:t>17</w:t>
      </w:r>
      <w:r>
        <w:rPr>
          <w:sz w:val="24"/>
          <w:szCs w:val="24"/>
        </w:rPr>
        <w:t xml:space="preserve">» </w:t>
      </w:r>
      <w:r w:rsidR="009F0725">
        <w:rPr>
          <w:sz w:val="24"/>
          <w:szCs w:val="24"/>
        </w:rPr>
        <w:t xml:space="preserve"> июня</w:t>
      </w:r>
      <w:r>
        <w:rPr>
          <w:sz w:val="24"/>
          <w:szCs w:val="24"/>
        </w:rPr>
        <w:t xml:space="preserve"> 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lastRenderedPageBreak/>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6" w:history="1">
        <w:r w:rsidRPr="006C7A56">
          <w:rPr>
            <w:rStyle w:val="a3"/>
            <w:sz w:val="24"/>
            <w:szCs w:val="24"/>
          </w:rPr>
          <w:t>@ugorsk</w:t>
        </w:r>
      </w:hyperlink>
      <w:hyperlink r:id="rId7" w:history="1">
        <w:r w:rsidRPr="006C7A56">
          <w:rPr>
            <w:rStyle w:val="a3"/>
            <w:sz w:val="24"/>
            <w:szCs w:val="24"/>
          </w:rPr>
          <w:t>.</w:t>
        </w:r>
      </w:hyperlink>
      <w:hyperlink r:id="rId8"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F545CB" w:rsidP="009D180F">
      <w:pPr>
        <w:jc w:val="both"/>
        <w:rPr>
          <w:b/>
          <w:sz w:val="24"/>
          <w:szCs w:val="24"/>
        </w:rPr>
      </w:pPr>
      <w:r>
        <w:rPr>
          <w:b/>
          <w:sz w:val="24"/>
          <w:szCs w:val="24"/>
        </w:rPr>
        <w:t>Г</w:t>
      </w:r>
      <w:r w:rsidR="009D180F" w:rsidRPr="00B03F78">
        <w:rPr>
          <w:b/>
          <w:sz w:val="24"/>
          <w:szCs w:val="24"/>
        </w:rPr>
        <w:t>лав</w:t>
      </w:r>
      <w:r>
        <w:rPr>
          <w:b/>
          <w:sz w:val="24"/>
          <w:szCs w:val="24"/>
        </w:rPr>
        <w:t>а</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w:t>
      </w:r>
      <w:r w:rsidR="009D180F" w:rsidRPr="00B03F78">
        <w:rPr>
          <w:b/>
          <w:sz w:val="24"/>
          <w:szCs w:val="24"/>
        </w:rPr>
        <w:t>.</w:t>
      </w:r>
      <w:r>
        <w:rPr>
          <w:b/>
          <w:sz w:val="24"/>
          <w:szCs w:val="24"/>
        </w:rPr>
        <w:t xml:space="preserve"> И</w:t>
      </w:r>
      <w:r w:rsidR="009D180F" w:rsidRPr="00B03F78">
        <w:rPr>
          <w:b/>
          <w:sz w:val="24"/>
          <w:szCs w:val="24"/>
        </w:rPr>
        <w:t>.</w:t>
      </w:r>
      <w:r>
        <w:rPr>
          <w:b/>
          <w:sz w:val="24"/>
          <w:szCs w:val="24"/>
        </w:rPr>
        <w:t xml:space="preserve"> Бодак</w:t>
      </w:r>
    </w:p>
    <w:p w:rsidR="009D180F" w:rsidRPr="00B03F78" w:rsidRDefault="009D180F" w:rsidP="009D180F">
      <w:pPr>
        <w:ind w:firstLine="426"/>
        <w:jc w:val="center"/>
        <w:rPr>
          <w:b/>
          <w:sz w:val="24"/>
          <w:szCs w:val="24"/>
        </w:rPr>
      </w:pPr>
    </w:p>
    <w:p w:rsidR="009D180F" w:rsidRDefault="009D180F" w:rsidP="009D180F">
      <w:pPr>
        <w:pStyle w:val="ConsNonformat"/>
        <w:ind w:right="0"/>
        <w:jc w:val="right"/>
        <w:rPr>
          <w:rFonts w:ascii="Times New Roman" w:hAnsi="Times New Roman" w:cs="Times New Roman"/>
          <w:sz w:val="24"/>
          <w:szCs w:val="28"/>
        </w:rPr>
      </w:pPr>
      <w:r>
        <w:rPr>
          <w:rFonts w:ascii="Times New Roman" w:eastAsia="Times New Roman" w:hAnsi="Times New Roman" w:cs="Times New Roman"/>
          <w:b/>
          <w:sz w:val="28"/>
          <w:szCs w:val="28"/>
        </w:rPr>
        <w:br w:type="page"/>
      </w: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2476FB" w:rsidP="009D180F">
      <w:pPr>
        <w:pStyle w:val="ConsNormal"/>
        <w:ind w:right="0" w:firstLine="540"/>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w:t>
      </w:r>
      <w:r w:rsidR="009D180F">
        <w:rPr>
          <w:rFonts w:ascii="Times New Roman" w:hAnsi="Times New Roman" w:cs="Times New Roman"/>
          <w:sz w:val="24"/>
          <w:szCs w:val="28"/>
        </w:rPr>
        <w:t>выполнить работу (</w:t>
      </w:r>
      <w:r w:rsidR="009D180F">
        <w:rPr>
          <w:rFonts w:ascii="Times New Roman" w:hAnsi="Times New Roman" w:cs="Times New Roman"/>
          <w:i/>
          <w:sz w:val="24"/>
          <w:szCs w:val="28"/>
        </w:rPr>
        <w:t>оказать услугу</w:t>
      </w:r>
      <w:r w:rsidR="009D180F">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w:t>
      </w:r>
      <w:r w:rsidR="00B8440B">
        <w:rPr>
          <w:rFonts w:ascii="Times New Roman" w:hAnsi="Times New Roman" w:cs="Times New Roman"/>
          <w:sz w:val="24"/>
          <w:szCs w:val="28"/>
        </w:rPr>
        <w:t xml:space="preserve">все </w:t>
      </w:r>
      <w:r>
        <w:rPr>
          <w:rFonts w:ascii="Times New Roman" w:hAnsi="Times New Roman" w:cs="Times New Roman"/>
          <w:sz w:val="24"/>
          <w:szCs w:val="28"/>
        </w:rPr>
        <w:t xml:space="preserve">расходы на </w:t>
      </w:r>
      <w:r w:rsidR="00B8440B">
        <w:rPr>
          <w:rFonts w:ascii="Times New Roman" w:hAnsi="Times New Roman" w:cs="Times New Roman"/>
          <w:sz w:val="24"/>
          <w:szCs w:val="28"/>
        </w:rPr>
        <w:t>оказание услуг, а также расходы, связанные с уплатой налогов и сборов,</w:t>
      </w:r>
      <w:bookmarkStart w:id="0" w:name="_GoBack"/>
      <w:bookmarkEnd w:id="0"/>
      <w:r>
        <w:rPr>
          <w:rFonts w:ascii="Times New Roman" w:hAnsi="Times New Roman" w:cs="Times New Roman"/>
          <w:sz w:val="24"/>
          <w:szCs w:val="28"/>
        </w:rPr>
        <w:t xml:space="preserve">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Pr>
          <w:b/>
          <w:sz w:val="24"/>
        </w:rPr>
        <w:t>"Заказчик",</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к сети Интернет (код ОКДП 64200</w:t>
      </w:r>
      <w:r w:rsidR="005C0BC8" w:rsidRPr="005C0BC8">
        <w:rPr>
          <w:sz w:val="24"/>
          <w:szCs w:val="24"/>
          <w:u w:val="single"/>
        </w:rPr>
        <w:t>9</w:t>
      </w:r>
      <w:r w:rsidRPr="0018598E">
        <w:rPr>
          <w:sz w:val="24"/>
          <w:szCs w:val="24"/>
          <w:u w:val="single"/>
        </w:rPr>
        <w:t>0).</w:t>
      </w:r>
      <w:r w:rsidRPr="0018598E">
        <w:rPr>
          <w:sz w:val="24"/>
          <w:szCs w:val="24"/>
        </w:rPr>
        <w:t xml:space="preserve"> </w:t>
      </w:r>
      <w:proofErr w:type="gramStart"/>
      <w:r>
        <w:rPr>
          <w:sz w:val="24"/>
          <w:szCs w:val="24"/>
        </w:rPr>
        <w:t>Характеристика и объем предоставляемых услуг указаны в спецификации, являющейся неотъемлемой частью настоящего Контракта (Приложение № 1).</w:t>
      </w:r>
      <w:proofErr w:type="gramEnd"/>
      <w:r>
        <w:rPr>
          <w:sz w:val="24"/>
          <w:szCs w:val="24"/>
        </w:rPr>
        <w:t xml:space="preserve"> До начала предоставления услуг </w:t>
      </w:r>
      <w:proofErr w:type="gramStart"/>
      <w:r>
        <w:rPr>
          <w:sz w:val="24"/>
          <w:szCs w:val="24"/>
        </w:rPr>
        <w:t>согласно</w:t>
      </w:r>
      <w:proofErr w:type="gramEnd"/>
      <w:r>
        <w:rPr>
          <w:sz w:val="24"/>
          <w:szCs w:val="24"/>
        </w:rPr>
        <w:t xml:space="preserve">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w:t>
      </w:r>
      <w:proofErr w:type="spellStart"/>
      <w:r>
        <w:rPr>
          <w:sz w:val="24"/>
          <w:szCs w:val="24"/>
        </w:rPr>
        <w:t>телематических</w:t>
      </w:r>
      <w:proofErr w:type="spellEnd"/>
      <w:r>
        <w:rPr>
          <w:sz w:val="24"/>
          <w:szCs w:val="24"/>
        </w:rPr>
        <w:t xml:space="preserve">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1.3. Срок оказания услуг - с 01.0</w:t>
      </w:r>
      <w:r w:rsidR="000564A4">
        <w:rPr>
          <w:sz w:val="24"/>
          <w:szCs w:val="24"/>
        </w:rPr>
        <w:t>7</w:t>
      </w:r>
      <w:r>
        <w:rPr>
          <w:sz w:val="24"/>
          <w:szCs w:val="24"/>
        </w:rPr>
        <w:t>.201</w:t>
      </w:r>
      <w:r w:rsidR="00F545CB">
        <w:rPr>
          <w:sz w:val="24"/>
          <w:szCs w:val="24"/>
        </w:rPr>
        <w:t>3</w:t>
      </w:r>
      <w:r>
        <w:rPr>
          <w:sz w:val="24"/>
          <w:szCs w:val="24"/>
        </w:rPr>
        <w:t xml:space="preserve"> до 3</w:t>
      </w:r>
      <w:r w:rsidR="000564A4">
        <w:rPr>
          <w:sz w:val="24"/>
          <w:szCs w:val="24"/>
        </w:rPr>
        <w:t>1</w:t>
      </w:r>
      <w:r>
        <w:rPr>
          <w:sz w:val="24"/>
          <w:szCs w:val="24"/>
        </w:rPr>
        <w:t>.</w:t>
      </w:r>
      <w:r w:rsidR="000564A4">
        <w:rPr>
          <w:sz w:val="24"/>
          <w:szCs w:val="24"/>
        </w:rPr>
        <w:t>12</w:t>
      </w:r>
      <w:r>
        <w:rPr>
          <w:sz w:val="24"/>
          <w:szCs w:val="24"/>
        </w:rPr>
        <w:t>.201</w:t>
      </w:r>
      <w:r w:rsidR="00F545CB">
        <w:rPr>
          <w:sz w:val="24"/>
          <w:szCs w:val="24"/>
        </w:rPr>
        <w:t>3</w:t>
      </w:r>
      <w:r>
        <w:rPr>
          <w:sz w:val="24"/>
          <w:szCs w:val="24"/>
        </w:rPr>
        <w:t>.</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Pr="00335E53">
        <w:rPr>
          <w:rFonts w:eastAsia="Calibri" w:cs="Calibri"/>
          <w:b/>
          <w:sz w:val="24"/>
          <w:szCs w:val="24"/>
        </w:rPr>
        <w:t>7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jc w:val="both"/>
        <w:rPr>
          <w:bCs/>
          <w:sz w:val="24"/>
        </w:rPr>
      </w:pPr>
      <w:r>
        <w:rPr>
          <w:rFonts w:eastAsia="Calibri" w:cs="Calibri"/>
          <w:sz w:val="24"/>
          <w:szCs w:val="24"/>
        </w:rPr>
        <w:t xml:space="preserve">2.1.2. обеспечить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jc w:val="both"/>
        <w:rPr>
          <w:rFonts w:eastAsia="Calibri" w:cs="Calibri"/>
          <w:sz w:val="24"/>
          <w:szCs w:val="24"/>
        </w:rPr>
      </w:pPr>
      <w:r>
        <w:rPr>
          <w:bCs/>
          <w:sz w:val="24"/>
        </w:rPr>
        <w:t xml:space="preserve">2.1.3. </w:t>
      </w:r>
      <w:r w:rsidRPr="00335E53">
        <w:rPr>
          <w:rFonts w:eastAsia="Calibri" w:cs="Calibri"/>
          <w:sz w:val="24"/>
          <w:szCs w:val="2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2.1.4. </w:t>
      </w:r>
      <w:r w:rsidRPr="00335E53">
        <w:rPr>
          <w:rFonts w:eastAsia="Calibri" w:cs="Calibri"/>
          <w:sz w:val="24"/>
          <w:szCs w:val="24"/>
        </w:rPr>
        <w:t>предупреждать Заказчика</w:t>
      </w:r>
      <w:r>
        <w:rPr>
          <w:rFonts w:eastAsia="Calibri" w:cs="Calibri"/>
          <w:sz w:val="24"/>
          <w:szCs w:val="24"/>
        </w:rPr>
        <w:t xml:space="preserve"> о проведении ремонтных и профилактических</w:t>
      </w:r>
      <w:r w:rsidRPr="00335E53">
        <w:rPr>
          <w:rFonts w:eastAsia="Calibri" w:cs="Calibri"/>
          <w:sz w:val="24"/>
          <w:szCs w:val="24"/>
        </w:rPr>
        <w:t xml:space="preserve"> </w:t>
      </w:r>
      <w:r>
        <w:rPr>
          <w:rFonts w:eastAsia="Calibri" w:cs="Calibri"/>
          <w:sz w:val="24"/>
          <w:szCs w:val="24"/>
        </w:rPr>
        <w:t xml:space="preserve">работ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2.1.5. </w:t>
      </w:r>
      <w:r w:rsidRPr="00335E53">
        <w:rPr>
          <w:rFonts w:eastAsia="Calibri" w:cs="Calibri"/>
          <w:sz w:val="24"/>
          <w:szCs w:val="24"/>
        </w:rPr>
        <w:t>не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jc w:val="both"/>
        <w:rPr>
          <w:rFonts w:eastAsia="Calibri" w:cs="Calibri"/>
          <w:color w:val="000000"/>
          <w:sz w:val="24"/>
          <w:szCs w:val="22"/>
        </w:rPr>
      </w:pPr>
      <w:proofErr w:type="gramStart"/>
      <w:r>
        <w:rPr>
          <w:rFonts w:eastAsia="Calibri" w:cs="Calibri"/>
          <w:sz w:val="24"/>
          <w:szCs w:val="24"/>
        </w:rPr>
        <w:t xml:space="preserve">2.1.6. </w:t>
      </w:r>
      <w:r w:rsidRPr="00335E53">
        <w:rPr>
          <w:rFonts w:eastAsia="Calibri" w:cs="Calibri"/>
          <w:color w:val="000000"/>
          <w:sz w:val="24"/>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jc w:val="both"/>
        <w:rPr>
          <w:sz w:val="24"/>
          <w:szCs w:val="24"/>
        </w:rPr>
      </w:pPr>
      <w:r>
        <w:rPr>
          <w:sz w:val="24"/>
          <w:szCs w:val="24"/>
        </w:rPr>
        <w:t>2.1.7.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9D180F">
      <w:pPr>
        <w:jc w:val="both"/>
        <w:rPr>
          <w:sz w:val="24"/>
          <w:szCs w:val="24"/>
        </w:rPr>
      </w:pPr>
    </w:p>
    <w:p w:rsidR="009D180F" w:rsidRDefault="009D180F" w:rsidP="009D180F">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lastRenderedPageBreak/>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t xml:space="preserve">2.2.4. требовать  устранения нарушений, произошедших не по его вине, в сроки,  согласованные  с </w:t>
      </w:r>
      <w:r w:rsidRPr="0018598E">
        <w:rPr>
          <w:b/>
          <w:sz w:val="24"/>
          <w:szCs w:val="24"/>
        </w:rPr>
        <w:t>Исполнителем</w:t>
      </w:r>
      <w:r>
        <w:rPr>
          <w:sz w:val="24"/>
          <w:szCs w:val="24"/>
        </w:rPr>
        <w:t>;</w:t>
      </w:r>
    </w:p>
    <w:p w:rsidR="00450A49" w:rsidRDefault="009D180F" w:rsidP="009D180F">
      <w:pPr>
        <w:jc w:val="both"/>
        <w:rPr>
          <w:sz w:val="24"/>
          <w:szCs w:val="24"/>
        </w:rPr>
      </w:pPr>
      <w:r>
        <w:rPr>
          <w:sz w:val="24"/>
          <w:szCs w:val="24"/>
        </w:rPr>
        <w:t>2.2.5. назначить технического специалиста:</w:t>
      </w:r>
      <w:r>
        <w:rPr>
          <w:sz w:val="24"/>
          <w:szCs w:val="24"/>
          <w:u w:val="single"/>
        </w:rPr>
        <w:t xml:space="preserve">    Ефремов Павел Николаевич,</w:t>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t xml:space="preserve"> тел. (34675) 5-00-61</w:t>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p>
    <w:p w:rsidR="009D180F" w:rsidRDefault="009D180F" w:rsidP="009D180F">
      <w:pPr>
        <w:jc w:val="both"/>
        <w:rPr>
          <w:sz w:val="24"/>
          <w:szCs w:val="24"/>
        </w:rPr>
      </w:pPr>
      <w:r>
        <w:rPr>
          <w:sz w:val="24"/>
          <w:szCs w:val="24"/>
        </w:rPr>
        <w:t xml:space="preserve">для осуществления контактов с техническими специалистами </w:t>
      </w:r>
      <w:r w:rsidRPr="00C1697D">
        <w:rPr>
          <w:b/>
          <w:sz w:val="24"/>
          <w:szCs w:val="24"/>
        </w:rPr>
        <w:t>Исполнителя</w:t>
      </w:r>
      <w:r>
        <w:rPr>
          <w:sz w:val="24"/>
          <w:szCs w:val="24"/>
        </w:rPr>
        <w:t>.</w:t>
      </w:r>
    </w:p>
    <w:p w:rsidR="009D180F" w:rsidRPr="00C1697D" w:rsidRDefault="009D180F" w:rsidP="009D180F">
      <w:pPr>
        <w:jc w:val="both"/>
        <w:rPr>
          <w:sz w:val="24"/>
          <w:szCs w:val="24"/>
        </w:rPr>
      </w:pPr>
      <w:r>
        <w:rPr>
          <w:sz w:val="24"/>
          <w:szCs w:val="24"/>
        </w:rPr>
        <w:t xml:space="preserve">2.2.6.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w:t>
      </w:r>
      <w:proofErr w:type="gramStart"/>
      <w:r>
        <w:rPr>
          <w:sz w:val="24"/>
          <w:szCs w:val="24"/>
        </w:rPr>
        <w:t>согласно акта</w:t>
      </w:r>
      <w:proofErr w:type="gramEnd"/>
      <w:r>
        <w:rPr>
          <w:sz w:val="24"/>
          <w:szCs w:val="24"/>
        </w:rPr>
        <w:t xml:space="preserve">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банковских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w:t>
      </w:r>
      <w:r>
        <w:rPr>
          <w:sz w:val="24"/>
          <w:szCs w:val="24"/>
        </w:rPr>
        <w:lastRenderedPageBreak/>
        <w:t xml:space="preserve">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4814FD" w:rsidRDefault="004814FD">
      <w:pPr>
        <w:suppressAutoHyphens w:val="0"/>
        <w:spacing w:after="200" w:line="276" w:lineRule="auto"/>
        <w:rPr>
          <w:sz w:val="24"/>
          <w:szCs w:val="24"/>
        </w:rPr>
      </w:pPr>
      <w:r>
        <w:rPr>
          <w:sz w:val="24"/>
          <w:szCs w:val="24"/>
        </w:rPr>
        <w:br w:type="page"/>
      </w:r>
    </w:p>
    <w:p w:rsidR="009D180F" w:rsidRDefault="009D180F" w:rsidP="009D180F">
      <w:pPr>
        <w:jc w:val="both"/>
        <w:rPr>
          <w:sz w:val="24"/>
          <w:szCs w:val="24"/>
        </w:rPr>
      </w:pPr>
      <w:r>
        <w:rPr>
          <w:sz w:val="24"/>
          <w:szCs w:val="24"/>
        </w:rPr>
        <w:lastRenderedPageBreak/>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0564A4" w:rsidRDefault="000564A4" w:rsidP="000564A4">
            <w:pPr>
              <w:shd w:val="clear" w:color="auto" w:fill="FFFFFF"/>
              <w:tabs>
                <w:tab w:val="left" w:pos="2531"/>
              </w:tabs>
              <w:rPr>
                <w:color w:val="000000"/>
                <w:sz w:val="22"/>
                <w:szCs w:val="22"/>
              </w:rPr>
            </w:pPr>
            <w:r>
              <w:rPr>
                <w:color w:val="000000"/>
                <w:sz w:val="22"/>
                <w:szCs w:val="22"/>
              </w:rPr>
              <w:t>Получа</w:t>
            </w:r>
            <w:r w:rsidR="002476FB">
              <w:rPr>
                <w:color w:val="000000"/>
                <w:sz w:val="22"/>
                <w:szCs w:val="22"/>
              </w:rPr>
              <w:t>тель: УФК по Ханты-Мансийскому автономному округу - Югре</w:t>
            </w:r>
            <w:r>
              <w:rPr>
                <w:color w:val="000000"/>
                <w:sz w:val="22"/>
                <w:szCs w:val="22"/>
              </w:rPr>
              <w:t xml:space="preserve"> </w:t>
            </w:r>
          </w:p>
          <w:p w:rsidR="000564A4" w:rsidRPr="002476FB" w:rsidRDefault="002476FB" w:rsidP="000564A4">
            <w:pPr>
              <w:shd w:val="clear" w:color="auto" w:fill="FFFFFF"/>
              <w:tabs>
                <w:tab w:val="left" w:pos="2531"/>
              </w:tabs>
              <w:rPr>
                <w:color w:val="000000"/>
                <w:sz w:val="22"/>
                <w:szCs w:val="22"/>
              </w:rPr>
            </w:pPr>
            <w:r>
              <w:rPr>
                <w:color w:val="000000"/>
                <w:sz w:val="22"/>
                <w:szCs w:val="22"/>
              </w:rPr>
              <w:t>(</w:t>
            </w:r>
            <w:proofErr w:type="spellStart"/>
            <w:r>
              <w:rPr>
                <w:color w:val="000000"/>
                <w:sz w:val="22"/>
                <w:szCs w:val="22"/>
              </w:rPr>
              <w:t>Депфин</w:t>
            </w:r>
            <w:proofErr w:type="spellEnd"/>
            <w:r>
              <w:rPr>
                <w:color w:val="000000"/>
                <w:sz w:val="22"/>
                <w:szCs w:val="22"/>
              </w:rPr>
              <w:t xml:space="preserve"> </w:t>
            </w:r>
            <w:proofErr w:type="spellStart"/>
            <w:r w:rsidR="000564A4">
              <w:rPr>
                <w:color w:val="000000"/>
                <w:sz w:val="22"/>
                <w:szCs w:val="22"/>
              </w:rPr>
              <w:t>Югорск</w:t>
            </w:r>
            <w:r>
              <w:rPr>
                <w:color w:val="000000"/>
                <w:sz w:val="22"/>
                <w:szCs w:val="22"/>
              </w:rPr>
              <w:t>а</w:t>
            </w:r>
            <w:proofErr w:type="spellEnd"/>
            <w:r>
              <w:rPr>
                <w:color w:val="000000"/>
                <w:sz w:val="22"/>
                <w:szCs w:val="22"/>
              </w:rPr>
              <w:t>, Администрация города Югорск</w:t>
            </w:r>
            <w:r w:rsidR="000564A4">
              <w:rPr>
                <w:iCs/>
                <w:color w:val="000000"/>
                <w:sz w:val="22"/>
                <w:szCs w:val="22"/>
              </w:rPr>
              <w:t>)</w:t>
            </w:r>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w:t>
            </w:r>
            <w:proofErr w:type="gramStart"/>
            <w:r>
              <w:rPr>
                <w:color w:val="000000"/>
                <w:spacing w:val="10"/>
                <w:sz w:val="22"/>
                <w:szCs w:val="22"/>
              </w:rPr>
              <w:t>.Х</w:t>
            </w:r>
            <w:proofErr w:type="gramEnd"/>
            <w:r>
              <w:rPr>
                <w:color w:val="000000"/>
                <w:spacing w:val="10"/>
                <w:sz w:val="22"/>
                <w:szCs w:val="22"/>
              </w:rPr>
              <w:t>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057B93">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Pr>
          <w:rFonts w:eastAsia="Calibri" w:cs="Calibri"/>
          <w:sz w:val="24"/>
          <w:szCs w:val="24"/>
        </w:rPr>
        <w:t>7 М</w:t>
      </w:r>
      <w:r w:rsidRPr="00335E53">
        <w:rPr>
          <w:rFonts w:eastAsia="Calibri" w:cs="Calibri"/>
          <w:sz w:val="24"/>
          <w:szCs w:val="24"/>
        </w:rPr>
        <w:t>бит/</w:t>
      </w:r>
      <w:proofErr w:type="gramStart"/>
      <w:r w:rsidRPr="00335E53">
        <w:rPr>
          <w:rFonts w:eastAsia="Calibri" w:cs="Calibri"/>
          <w:sz w:val="24"/>
          <w:szCs w:val="24"/>
        </w:rPr>
        <w:t>с</w:t>
      </w:r>
      <w:proofErr w:type="gramEnd"/>
      <w:r w:rsidRPr="00335E53">
        <w:rPr>
          <w:rFonts w:eastAsia="Calibri" w:cs="Calibri"/>
          <w:sz w:val="24"/>
          <w:szCs w:val="24"/>
        </w:rPr>
        <w:t xml:space="preserve"> </w:t>
      </w:r>
      <w:proofErr w:type="gramStart"/>
      <w:r w:rsidRPr="00335E53">
        <w:rPr>
          <w:rFonts w:eastAsia="Calibri" w:cs="Calibri"/>
          <w:b/>
          <w:bCs/>
          <w:sz w:val="24"/>
          <w:szCs w:val="24"/>
        </w:rPr>
        <w:t>в</w:t>
      </w:r>
      <w:proofErr w:type="gramEnd"/>
      <w:r w:rsidRPr="00335E53">
        <w:rPr>
          <w:rFonts w:eastAsia="Calibri" w:cs="Calibri"/>
          <w:b/>
          <w:bCs/>
          <w:sz w:val="24"/>
          <w:szCs w:val="24"/>
        </w:rPr>
        <w:t xml:space="preserve"> обе стороны </w:t>
      </w:r>
      <w:r w:rsidRPr="00335E53">
        <w:rPr>
          <w:rFonts w:eastAsia="Calibri" w:cs="Calibri"/>
          <w:sz w:val="24"/>
          <w:szCs w:val="24"/>
        </w:rPr>
        <w:t>на все время пользования услугой</w:t>
      </w:r>
      <w:r>
        <w:rPr>
          <w:rFonts w:eastAsia="Calibri" w:cs="Calibri"/>
          <w:sz w:val="24"/>
          <w:szCs w:val="24"/>
        </w:rPr>
        <w:t xml:space="preserve"> без ограничения объема трафика;</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 xml:space="preserve">горска,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9D180F"/>
    <w:rsid w:val="000564A4"/>
    <w:rsid w:val="001B19DD"/>
    <w:rsid w:val="001D7800"/>
    <w:rsid w:val="002476FB"/>
    <w:rsid w:val="00296263"/>
    <w:rsid w:val="00450A49"/>
    <w:rsid w:val="004814FD"/>
    <w:rsid w:val="00531DDD"/>
    <w:rsid w:val="005726E9"/>
    <w:rsid w:val="005C0BC8"/>
    <w:rsid w:val="005C537F"/>
    <w:rsid w:val="0065787F"/>
    <w:rsid w:val="009D180F"/>
    <w:rsid w:val="009F0725"/>
    <w:rsid w:val="00B11233"/>
    <w:rsid w:val="00B331D3"/>
    <w:rsid w:val="00B8440B"/>
    <w:rsid w:val="00F545CB"/>
    <w:rsid w:val="00F95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ettings" Target="settings.xml"/><Relationship Id="rId7" Type="http://schemas.openxmlformats.org/officeDocument/2006/relationships/hyperlink" Target="mailto:infor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ugorsk.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3219</Words>
  <Characters>18352</Characters>
  <Application>Microsoft Office Word</Application>
  <DocSecurity>0</DocSecurity>
  <Lines>152</Lines>
  <Paragraphs>43</Paragraphs>
  <ScaleCrop>false</ScaleCrop>
  <Company>Microsoft</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20</cp:revision>
  <cp:lastPrinted>2013-05-23T02:52:00Z</cp:lastPrinted>
  <dcterms:created xsi:type="dcterms:W3CDTF">2012-04-18T06:01:00Z</dcterms:created>
  <dcterms:modified xsi:type="dcterms:W3CDTF">2013-06-05T14:10:00Z</dcterms:modified>
</cp:coreProperties>
</file>